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B41" w:rsidRPr="00B80B41" w:rsidRDefault="00B80B41" w:rsidP="00B80B41">
      <w:pPr>
        <w:rPr>
          <w:b/>
          <w:bCs/>
        </w:rPr>
      </w:pPr>
      <w:r w:rsidRPr="00B80B41">
        <w:rPr>
          <w:b/>
          <w:bCs/>
        </w:rPr>
        <w:t>УЧАСТИЕ НА ДЪРЖАВАТА В КАПИТАЛА НА ПРЕДПРИЯТИЯТА КЪМ 31.12. 2013 ГОДИНА</w:t>
      </w:r>
    </w:p>
    <w:p w:rsidR="00B80B41" w:rsidRPr="00B80B41" w:rsidRDefault="00B80B41" w:rsidP="00B80B41">
      <w:bookmarkStart w:id="0" w:name="_GoBack"/>
      <w:bookmarkEnd w:id="0"/>
    </w:p>
    <w:tbl>
      <w:tblPr>
        <w:tblW w:w="0" w:type="auto"/>
        <w:tblCellMar>
          <w:top w:w="240" w:type="dxa"/>
          <w:left w:w="240" w:type="dxa"/>
          <w:bottom w:w="240" w:type="dxa"/>
          <w:right w:w="240" w:type="dxa"/>
        </w:tblCellMar>
        <w:tblLook w:val="04A0" w:firstRow="1" w:lastRow="0" w:firstColumn="1" w:lastColumn="0" w:noHBand="0" w:noVBand="1"/>
      </w:tblPr>
      <w:tblGrid>
        <w:gridCol w:w="878"/>
        <w:gridCol w:w="2916"/>
        <w:gridCol w:w="5338"/>
      </w:tblGrid>
      <w:tr w:rsidR="00B80B41" w:rsidRPr="00B80B41" w:rsidTr="00B80B41">
        <w:trPr>
          <w:tblHeader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0B41" w:rsidRPr="00B80B41" w:rsidRDefault="00B80B41" w:rsidP="00B80B41">
            <w:pPr>
              <w:rPr>
                <w:b/>
                <w:bCs/>
              </w:rPr>
            </w:pPr>
            <w:r w:rsidRPr="00B80B41">
              <w:rPr>
                <w:b/>
                <w:bCs/>
              </w:rPr>
              <w:t>Номер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0B41" w:rsidRPr="00B80B41" w:rsidRDefault="00B80B41" w:rsidP="00B80B41">
            <w:pPr>
              <w:rPr>
                <w:b/>
                <w:bCs/>
              </w:rPr>
            </w:pPr>
            <w:r w:rsidRPr="00B80B41">
              <w:rPr>
                <w:b/>
                <w:bCs/>
              </w:rPr>
              <w:t>Понятия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0B41" w:rsidRPr="00B80B41" w:rsidRDefault="00B80B41" w:rsidP="00B80B41">
            <w:pPr>
              <w:rPr>
                <w:b/>
                <w:bCs/>
              </w:rPr>
            </w:pPr>
            <w:r w:rsidRPr="00B80B41">
              <w:rPr>
                <w:b/>
                <w:bCs/>
              </w:rPr>
              <w:t>Описание</w:t>
            </w:r>
          </w:p>
        </w:tc>
      </w:tr>
      <w:tr w:rsidR="00B80B41" w:rsidRPr="00B80B41" w:rsidTr="00B80B41"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0B41" w:rsidRPr="00B80B41" w:rsidRDefault="00B80B41" w:rsidP="00B80B41">
            <w:r w:rsidRPr="00B80B41">
              <w:t>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0B41" w:rsidRPr="00B80B41" w:rsidRDefault="00B80B41" w:rsidP="00B80B41">
            <w:pPr>
              <w:rPr>
                <w:b/>
                <w:bCs/>
              </w:rPr>
            </w:pPr>
            <w:r w:rsidRPr="00B80B41">
              <w:rPr>
                <w:b/>
                <w:bCs/>
              </w:rPr>
              <w:t>Описание на данните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0B41" w:rsidRPr="00B80B41" w:rsidRDefault="00B80B41" w:rsidP="00B80B41">
            <w:r w:rsidRPr="00B80B41">
              <w:t>Участието на държавата представлява актив на правителството под формата на акции и други капиталови инструменти, представляващи права на собственост в корпоративния капитал на предприятията. Данните за участието на държавата в капитала на предприятията се получават от годишните отчети за дейността на предприятията, предоставени в НСИ съгласно Закона за статистиката.Тези предприятия са класифицирани в сектори S.11 "Нефинансови предприятия", S.12 "Финансови предприятия" и S.2 "Останал свят", съгласно Европейската система от национални и регионални сметки 2010. За целите на тези данни, за държавни предприятия се считат тези, в които участието на държавата в капитала им е най-малко 50%.</w:t>
            </w:r>
          </w:p>
        </w:tc>
      </w:tr>
      <w:tr w:rsidR="00B80B41" w:rsidRPr="00B80B41" w:rsidTr="00B80B41"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0B41" w:rsidRPr="00B80B41" w:rsidRDefault="00B80B41" w:rsidP="00B80B41">
            <w:r w:rsidRPr="00B80B41">
              <w:t>2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0B41" w:rsidRPr="00B80B41" w:rsidRDefault="00B80B41" w:rsidP="00B80B41">
            <w:pPr>
              <w:rPr>
                <w:b/>
                <w:bCs/>
              </w:rPr>
            </w:pPr>
            <w:r w:rsidRPr="00B80B41">
              <w:rPr>
                <w:b/>
                <w:bCs/>
              </w:rPr>
              <w:t>Използвани класификации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0B41" w:rsidRPr="00B80B41" w:rsidRDefault="00B80B41" w:rsidP="00B80B41">
            <w:r w:rsidRPr="00B80B41">
              <w:t>• Европейска система от национални и регионални сметки 2010 (ЕСС 2010)</w:t>
            </w:r>
          </w:p>
        </w:tc>
      </w:tr>
      <w:tr w:rsidR="00B80B41" w:rsidRPr="00B80B41" w:rsidTr="00B80B41"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0B41" w:rsidRPr="00B80B41" w:rsidRDefault="00B80B41" w:rsidP="00B80B41">
            <w:r w:rsidRPr="00B80B41">
              <w:t>3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0B41" w:rsidRPr="00B80B41" w:rsidRDefault="00B80B41" w:rsidP="00B80B41">
            <w:pPr>
              <w:rPr>
                <w:b/>
                <w:bCs/>
              </w:rPr>
            </w:pPr>
            <w:r w:rsidRPr="00B80B41">
              <w:rPr>
                <w:b/>
                <w:bCs/>
              </w:rPr>
              <w:t>Обхват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0B41" w:rsidRPr="00B80B41" w:rsidRDefault="00B80B41" w:rsidP="00B80B41">
            <w:r w:rsidRPr="00B80B41">
              <w:t xml:space="preserve">На основание Директива 2011/85 на ЕС държавите-членки на ЕС следва да публикуват годишни данни за участието на държавата в капитала на предприятията - държавни и частни. Предприятията, </w:t>
            </w:r>
            <w:proofErr w:type="spellStart"/>
            <w:r w:rsidRPr="00B80B41">
              <w:t>прекласифицирани</w:t>
            </w:r>
            <w:proofErr w:type="spellEnd"/>
            <w:r w:rsidRPr="00B80B41">
              <w:t xml:space="preserve"> в сектор S.13 "Държавно управление" не са включени в обхвата на данните.</w:t>
            </w:r>
          </w:p>
        </w:tc>
      </w:tr>
      <w:tr w:rsidR="00B80B41" w:rsidRPr="00B80B41" w:rsidTr="00B80B41"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0B41" w:rsidRPr="00B80B41" w:rsidRDefault="00B80B41" w:rsidP="00B80B41">
            <w:r w:rsidRPr="00B80B41">
              <w:t>4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0B41" w:rsidRPr="00B80B41" w:rsidRDefault="00B80B41" w:rsidP="00B80B41">
            <w:pPr>
              <w:rPr>
                <w:b/>
                <w:bCs/>
              </w:rPr>
            </w:pPr>
            <w:r w:rsidRPr="00B80B41">
              <w:rPr>
                <w:b/>
                <w:bCs/>
              </w:rPr>
              <w:t xml:space="preserve">Единици на </w:t>
            </w:r>
            <w:proofErr w:type="spellStart"/>
            <w:r w:rsidRPr="00B80B41">
              <w:rPr>
                <w:b/>
                <w:bCs/>
              </w:rPr>
              <w:t>измерванe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0B41" w:rsidRPr="00B80B41" w:rsidRDefault="00B80B41" w:rsidP="00B80B41">
            <w:r w:rsidRPr="00B80B41">
              <w:t>% от БВП</w:t>
            </w:r>
          </w:p>
        </w:tc>
      </w:tr>
      <w:tr w:rsidR="00B80B41" w:rsidRPr="00B80B41" w:rsidTr="00B80B41"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0B41" w:rsidRPr="00B80B41" w:rsidRDefault="00B80B41" w:rsidP="00B80B41">
            <w:r w:rsidRPr="00B80B41">
              <w:t>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0B41" w:rsidRPr="00B80B41" w:rsidRDefault="00B80B41" w:rsidP="00B80B41">
            <w:pPr>
              <w:rPr>
                <w:b/>
                <w:bCs/>
              </w:rPr>
            </w:pPr>
            <w:r w:rsidRPr="00B80B41">
              <w:rPr>
                <w:b/>
                <w:bCs/>
              </w:rPr>
              <w:t>Период, за който се отнасят данните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0B41" w:rsidRPr="00B80B41" w:rsidRDefault="00B80B41" w:rsidP="00B80B41">
            <w:r w:rsidRPr="00B80B41">
              <w:t>годишни данни</w:t>
            </w:r>
          </w:p>
        </w:tc>
      </w:tr>
      <w:tr w:rsidR="00B80B41" w:rsidRPr="00B80B41" w:rsidTr="00B80B41"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0B41" w:rsidRPr="00B80B41" w:rsidRDefault="00B80B41" w:rsidP="00B80B41">
            <w:r w:rsidRPr="00B80B41">
              <w:t>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0B41" w:rsidRPr="00B80B41" w:rsidRDefault="00B80B41" w:rsidP="00B80B41">
            <w:pPr>
              <w:rPr>
                <w:b/>
                <w:bCs/>
              </w:rPr>
            </w:pPr>
            <w:r w:rsidRPr="00B80B41">
              <w:rPr>
                <w:b/>
                <w:bCs/>
              </w:rPr>
              <w:t>Период, за който има налични данни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0B41" w:rsidRPr="00B80B41" w:rsidRDefault="00B80B41" w:rsidP="00B80B41">
            <w:r w:rsidRPr="00B80B41">
              <w:t>2013 г.</w:t>
            </w:r>
          </w:p>
        </w:tc>
      </w:tr>
      <w:tr w:rsidR="00B80B41" w:rsidRPr="00B80B41" w:rsidTr="00B80B41"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0B41" w:rsidRPr="00B80B41" w:rsidRDefault="00B80B41" w:rsidP="00B80B41">
            <w:r w:rsidRPr="00B80B41">
              <w:t>7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0B41" w:rsidRPr="00B80B41" w:rsidRDefault="00B80B41" w:rsidP="00B80B41">
            <w:pPr>
              <w:rPr>
                <w:b/>
                <w:bCs/>
              </w:rPr>
            </w:pPr>
            <w:r w:rsidRPr="00B80B41">
              <w:rPr>
                <w:b/>
                <w:bCs/>
              </w:rPr>
              <w:t>Нормативни изисквания и правила (национални и Европейски)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0B41" w:rsidRPr="00B80B41" w:rsidRDefault="00B80B41" w:rsidP="00B80B41">
            <w:r w:rsidRPr="00B80B41">
              <w:t>• Европейска система от национални и регионални сметки 2010 (ЕСС 2010);</w:t>
            </w:r>
            <w:r w:rsidRPr="00B80B41">
              <w:br/>
              <w:t xml:space="preserve">• Директива 2011/85 на ЕС за бюджетните рамки на държавите-членки на ЕС </w:t>
            </w:r>
          </w:p>
        </w:tc>
      </w:tr>
      <w:tr w:rsidR="00B80B41" w:rsidRPr="00B80B41" w:rsidTr="00B80B41"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0B41" w:rsidRPr="00B80B41" w:rsidRDefault="00B80B41" w:rsidP="00B80B41">
            <w:r w:rsidRPr="00B80B41">
              <w:t>8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0B41" w:rsidRPr="00B80B41" w:rsidRDefault="00B80B41" w:rsidP="00B80B41">
            <w:pPr>
              <w:rPr>
                <w:b/>
                <w:bCs/>
              </w:rPr>
            </w:pPr>
            <w:r w:rsidRPr="00B80B41">
              <w:rPr>
                <w:b/>
                <w:bCs/>
              </w:rPr>
              <w:t xml:space="preserve">Срокове на </w:t>
            </w:r>
            <w:r w:rsidRPr="00B80B41">
              <w:rPr>
                <w:b/>
                <w:bCs/>
              </w:rPr>
              <w:lastRenderedPageBreak/>
              <w:t>разпространение на информацията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0B41" w:rsidRPr="00B80B41" w:rsidRDefault="00B80B41" w:rsidP="00B80B41">
            <w:r w:rsidRPr="00B80B41">
              <w:lastRenderedPageBreak/>
              <w:t xml:space="preserve">Датата за публикуване на статистическата </w:t>
            </w:r>
            <w:r w:rsidRPr="00B80B41">
              <w:lastRenderedPageBreak/>
              <w:t>информация е посочена в Календара за представяне на резултатите от статистическите изследвания на НСИ.</w:t>
            </w:r>
          </w:p>
        </w:tc>
      </w:tr>
      <w:tr w:rsidR="00B80B41" w:rsidRPr="00B80B41" w:rsidTr="00B80B41"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0B41" w:rsidRPr="00B80B41" w:rsidRDefault="00B80B41" w:rsidP="00B80B41">
            <w:r w:rsidRPr="00B80B41"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0B41" w:rsidRPr="00B80B41" w:rsidRDefault="00B80B41" w:rsidP="00B80B41">
            <w:pPr>
              <w:rPr>
                <w:b/>
                <w:bCs/>
              </w:rPr>
            </w:pPr>
            <w:r w:rsidRPr="00B80B41">
              <w:rPr>
                <w:b/>
                <w:bCs/>
              </w:rPr>
              <w:t>Начини на разпространение на информацията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0B41" w:rsidRPr="00B80B41" w:rsidRDefault="00B80B41" w:rsidP="00B80B41">
            <w:r w:rsidRPr="00B80B41">
              <w:t xml:space="preserve">• Интернет страница </w:t>
            </w:r>
            <w:hyperlink r:id="rId6" w:history="1">
              <w:r w:rsidRPr="00B80B41">
                <w:rPr>
                  <w:rStyle w:val="Hyperlink"/>
                </w:rPr>
                <w:t>www.nsi.bg</w:t>
              </w:r>
            </w:hyperlink>
          </w:p>
        </w:tc>
      </w:tr>
      <w:tr w:rsidR="00B80B41" w:rsidRPr="00B80B41" w:rsidTr="00B80B41"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0B41" w:rsidRPr="00B80B41" w:rsidRDefault="00B80B41" w:rsidP="00B80B41">
            <w:r w:rsidRPr="00B80B41">
              <w:t>10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0B41" w:rsidRPr="00B80B41" w:rsidRDefault="00B80B41" w:rsidP="00B80B41">
            <w:pPr>
              <w:rPr>
                <w:b/>
                <w:bCs/>
              </w:rPr>
            </w:pPr>
            <w:r w:rsidRPr="00B80B41">
              <w:rPr>
                <w:b/>
                <w:bCs/>
              </w:rPr>
              <w:t>Методологични документи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0B41" w:rsidRPr="00B80B41" w:rsidRDefault="00B80B41" w:rsidP="00B80B41">
            <w:r w:rsidRPr="00B80B41">
              <w:t>• Европейска система от национални и регионални сметки 2010 (ЕСС 2010)</w:t>
            </w:r>
          </w:p>
        </w:tc>
      </w:tr>
      <w:tr w:rsidR="00B80B41" w:rsidRPr="00B80B41" w:rsidTr="00B80B41"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0B41" w:rsidRPr="00B80B41" w:rsidRDefault="00B80B41" w:rsidP="00B80B41">
            <w:r w:rsidRPr="00B80B41">
              <w:t>11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0B41" w:rsidRPr="00B80B41" w:rsidRDefault="00B80B41" w:rsidP="00B80B41">
            <w:pPr>
              <w:rPr>
                <w:b/>
                <w:bCs/>
              </w:rPr>
            </w:pPr>
            <w:r w:rsidRPr="00B80B41">
              <w:rPr>
                <w:b/>
                <w:bCs/>
              </w:rPr>
              <w:t>Източници на данни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0B41" w:rsidRPr="00B80B41" w:rsidRDefault="00B80B41" w:rsidP="00B80B41">
            <w:r w:rsidRPr="00B80B41">
              <w:t>• годишни отчети за дейността на предприятията, предоставяни в НСИ съгласно Закона за статистиката</w:t>
            </w:r>
          </w:p>
        </w:tc>
      </w:tr>
      <w:tr w:rsidR="00B80B41" w:rsidRPr="00B80B41" w:rsidTr="00B80B41"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0B41" w:rsidRPr="00B80B41" w:rsidRDefault="00B80B41" w:rsidP="00B80B41">
            <w:r w:rsidRPr="00B80B41">
              <w:t>12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0B41" w:rsidRPr="00B80B41" w:rsidRDefault="00B80B41" w:rsidP="00B80B41">
            <w:pPr>
              <w:rPr>
                <w:b/>
                <w:bCs/>
              </w:rPr>
            </w:pPr>
            <w:r w:rsidRPr="00B80B41">
              <w:rPr>
                <w:b/>
                <w:bCs/>
              </w:rPr>
              <w:t>Честота на събиране на данните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0B41" w:rsidRPr="00B80B41" w:rsidRDefault="00B80B41" w:rsidP="00B80B41">
            <w:r w:rsidRPr="00B80B41">
              <w:t>годишно</w:t>
            </w:r>
          </w:p>
        </w:tc>
      </w:tr>
      <w:tr w:rsidR="00B80B41" w:rsidRPr="00B80B41" w:rsidTr="00B80B41"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0B41" w:rsidRPr="00B80B41" w:rsidRDefault="00B80B41" w:rsidP="00B80B41">
            <w:r w:rsidRPr="00B80B41">
              <w:t>13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0B41" w:rsidRPr="00B80B41" w:rsidRDefault="00B80B41" w:rsidP="00B80B41">
            <w:pPr>
              <w:rPr>
                <w:b/>
                <w:bCs/>
              </w:rPr>
            </w:pPr>
            <w:r w:rsidRPr="00B80B41">
              <w:rPr>
                <w:b/>
                <w:bCs/>
              </w:rPr>
              <w:t>Начин за събиране на данните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0B41" w:rsidRPr="00B80B41" w:rsidRDefault="00B80B41" w:rsidP="00B80B41">
            <w:r w:rsidRPr="00B80B41">
              <w:t>Изчерпателно за всички единици</w:t>
            </w:r>
          </w:p>
        </w:tc>
      </w:tr>
    </w:tbl>
    <w:p w:rsidR="00002288" w:rsidRDefault="00002288"/>
    <w:sectPr w:rsidR="00002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173781"/>
    <w:multiLevelType w:val="multilevel"/>
    <w:tmpl w:val="EF1C8E28"/>
    <w:lvl w:ilvl="0">
      <w:start w:val="1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-770"/>
        </w:tabs>
        <w:ind w:left="432" w:hanging="432"/>
      </w:pPr>
      <w:rPr>
        <w:rFonts w:ascii="Verdana" w:hAnsi="Verdana" w:cs="Arial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B41"/>
    <w:rsid w:val="00002288"/>
    <w:rsid w:val="007B14B6"/>
    <w:rsid w:val="00995FFF"/>
    <w:rsid w:val="00B80B41"/>
    <w:rsid w:val="00BF44B9"/>
    <w:rsid w:val="00D22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0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995FFF"/>
    <w:pPr>
      <w:spacing w:line="276" w:lineRule="auto"/>
    </w:pPr>
    <w:rPr>
      <w:rFonts w:ascii="Verdana" w:hAnsi="Verdana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995FFF"/>
    <w:pPr>
      <w:keepNext/>
      <w:keepLines/>
      <w:spacing w:before="480"/>
      <w:outlineLvl w:val="0"/>
    </w:pPr>
    <w:rPr>
      <w:rFonts w:ascii="Cambria" w:eastAsia="Malgun Gothic" w:hAnsi="Cambria" w:cstheme="majorBidi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995FFF"/>
    <w:pPr>
      <w:keepNext/>
      <w:suppressAutoHyphens/>
      <w:spacing w:before="120" w:after="120" w:line="240" w:lineRule="auto"/>
      <w:jc w:val="both"/>
      <w:outlineLvl w:val="1"/>
    </w:pPr>
    <w:rPr>
      <w:rFonts w:ascii="Times New Roman" w:eastAsia="Times New Roman" w:hAnsi="Times New Roman"/>
      <w:b/>
      <w:bCs/>
      <w:iCs/>
      <w:sz w:val="24"/>
      <w:szCs w:val="28"/>
      <w:lang w:eastAsia="ar-SA"/>
    </w:rPr>
  </w:style>
  <w:style w:type="paragraph" w:styleId="Heading3">
    <w:name w:val="heading 3"/>
    <w:basedOn w:val="Normal"/>
    <w:next w:val="Normal"/>
    <w:link w:val="Heading3Char"/>
    <w:qFormat/>
    <w:rsid w:val="00995FFF"/>
    <w:pPr>
      <w:keepNext/>
      <w:spacing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95FF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95FFF"/>
    <w:rPr>
      <w:rFonts w:ascii="Cambria" w:eastAsia="Malgun Gothic" w:hAnsi="Cambria" w:cstheme="majorBidi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995FFF"/>
    <w:rPr>
      <w:rFonts w:eastAsia="Times New Roman"/>
      <w:b/>
      <w:bCs/>
      <w:iCs/>
      <w:sz w:val="24"/>
      <w:szCs w:val="28"/>
      <w:lang w:eastAsia="ar-SA"/>
    </w:rPr>
  </w:style>
  <w:style w:type="character" w:customStyle="1" w:styleId="Heading3Char">
    <w:name w:val="Heading 3 Char"/>
    <w:basedOn w:val="DefaultParagraphFont"/>
    <w:link w:val="Heading3"/>
    <w:rsid w:val="00995FFF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995FFF"/>
    <w:rPr>
      <w:rFonts w:ascii="Calibri" w:hAnsi="Calibri"/>
      <w:b/>
      <w:bCs/>
      <w:sz w:val="28"/>
      <w:szCs w:val="28"/>
    </w:rPr>
  </w:style>
  <w:style w:type="paragraph" w:styleId="Caption">
    <w:name w:val="caption"/>
    <w:basedOn w:val="Normal"/>
    <w:next w:val="Normal"/>
    <w:qFormat/>
    <w:rsid w:val="00995FFF"/>
    <w:rPr>
      <w:rFonts w:eastAsia="Times New Roman"/>
      <w:b/>
      <w:bCs/>
      <w:sz w:val="20"/>
      <w:szCs w:val="20"/>
    </w:rPr>
  </w:style>
  <w:style w:type="paragraph" w:styleId="Subtitle">
    <w:name w:val="Subtitle"/>
    <w:basedOn w:val="Normal"/>
    <w:next w:val="Normal"/>
    <w:link w:val="SubtitleChar"/>
    <w:qFormat/>
    <w:rsid w:val="00995FFF"/>
    <w:pPr>
      <w:numPr>
        <w:ilvl w:val="1"/>
      </w:numPr>
    </w:pPr>
    <w:rPr>
      <w:rFonts w:ascii="Cambria" w:eastAsia="Malgun Gothic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rsid w:val="00995FFF"/>
    <w:rPr>
      <w:rFonts w:ascii="Cambria" w:eastAsia="Malgun Gothic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qFormat/>
    <w:rsid w:val="00995FFF"/>
    <w:pPr>
      <w:ind w:left="720"/>
      <w:contextualSpacing/>
    </w:pPr>
    <w:rPr>
      <w:rFonts w:eastAsia="Times New Roman"/>
    </w:rPr>
  </w:style>
  <w:style w:type="character" w:styleId="SubtleEmphasis">
    <w:name w:val="Subtle Emphasis"/>
    <w:qFormat/>
    <w:rsid w:val="00995FFF"/>
    <w:rPr>
      <w:rFonts w:cs="Times New Roman"/>
      <w:i/>
      <w:iCs/>
      <w:color w:val="808080"/>
    </w:rPr>
  </w:style>
  <w:style w:type="character" w:styleId="SubtleReference">
    <w:name w:val="Subtle Reference"/>
    <w:qFormat/>
    <w:rsid w:val="00995FFF"/>
    <w:rPr>
      <w:rFonts w:cs="Times New Roman"/>
      <w:smallCaps/>
      <w:color w:val="C0504D"/>
      <w:u w:val="single"/>
    </w:rPr>
  </w:style>
  <w:style w:type="character" w:styleId="BookTitle">
    <w:name w:val="Book Title"/>
    <w:qFormat/>
    <w:rsid w:val="00995FFF"/>
    <w:rPr>
      <w:rFonts w:cs="Times New Roman"/>
      <w:b/>
      <w:bCs/>
      <w:smallCaps/>
      <w:spacing w:val="5"/>
    </w:rPr>
  </w:style>
  <w:style w:type="paragraph" w:styleId="TOCHeading">
    <w:name w:val="TOC Heading"/>
    <w:basedOn w:val="Heading1"/>
    <w:next w:val="Normal"/>
    <w:qFormat/>
    <w:rsid w:val="00995FFF"/>
    <w:pPr>
      <w:outlineLvl w:val="9"/>
    </w:pPr>
    <w:rPr>
      <w:rFonts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B80B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0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995FFF"/>
    <w:pPr>
      <w:spacing w:line="276" w:lineRule="auto"/>
    </w:pPr>
    <w:rPr>
      <w:rFonts w:ascii="Verdana" w:hAnsi="Verdana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995FFF"/>
    <w:pPr>
      <w:keepNext/>
      <w:keepLines/>
      <w:spacing w:before="480"/>
      <w:outlineLvl w:val="0"/>
    </w:pPr>
    <w:rPr>
      <w:rFonts w:ascii="Cambria" w:eastAsia="Malgun Gothic" w:hAnsi="Cambria" w:cstheme="majorBidi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995FFF"/>
    <w:pPr>
      <w:keepNext/>
      <w:suppressAutoHyphens/>
      <w:spacing w:before="120" w:after="120" w:line="240" w:lineRule="auto"/>
      <w:jc w:val="both"/>
      <w:outlineLvl w:val="1"/>
    </w:pPr>
    <w:rPr>
      <w:rFonts w:ascii="Times New Roman" w:eastAsia="Times New Roman" w:hAnsi="Times New Roman"/>
      <w:b/>
      <w:bCs/>
      <w:iCs/>
      <w:sz w:val="24"/>
      <w:szCs w:val="28"/>
      <w:lang w:eastAsia="ar-SA"/>
    </w:rPr>
  </w:style>
  <w:style w:type="paragraph" w:styleId="Heading3">
    <w:name w:val="heading 3"/>
    <w:basedOn w:val="Normal"/>
    <w:next w:val="Normal"/>
    <w:link w:val="Heading3Char"/>
    <w:qFormat/>
    <w:rsid w:val="00995FFF"/>
    <w:pPr>
      <w:keepNext/>
      <w:spacing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95FF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95FFF"/>
    <w:rPr>
      <w:rFonts w:ascii="Cambria" w:eastAsia="Malgun Gothic" w:hAnsi="Cambria" w:cstheme="majorBidi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995FFF"/>
    <w:rPr>
      <w:rFonts w:eastAsia="Times New Roman"/>
      <w:b/>
      <w:bCs/>
      <w:iCs/>
      <w:sz w:val="24"/>
      <w:szCs w:val="28"/>
      <w:lang w:eastAsia="ar-SA"/>
    </w:rPr>
  </w:style>
  <w:style w:type="character" w:customStyle="1" w:styleId="Heading3Char">
    <w:name w:val="Heading 3 Char"/>
    <w:basedOn w:val="DefaultParagraphFont"/>
    <w:link w:val="Heading3"/>
    <w:rsid w:val="00995FFF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995FFF"/>
    <w:rPr>
      <w:rFonts w:ascii="Calibri" w:hAnsi="Calibri"/>
      <w:b/>
      <w:bCs/>
      <w:sz w:val="28"/>
      <w:szCs w:val="28"/>
    </w:rPr>
  </w:style>
  <w:style w:type="paragraph" w:styleId="Caption">
    <w:name w:val="caption"/>
    <w:basedOn w:val="Normal"/>
    <w:next w:val="Normal"/>
    <w:qFormat/>
    <w:rsid w:val="00995FFF"/>
    <w:rPr>
      <w:rFonts w:eastAsia="Times New Roman"/>
      <w:b/>
      <w:bCs/>
      <w:sz w:val="20"/>
      <w:szCs w:val="20"/>
    </w:rPr>
  </w:style>
  <w:style w:type="paragraph" w:styleId="Subtitle">
    <w:name w:val="Subtitle"/>
    <w:basedOn w:val="Normal"/>
    <w:next w:val="Normal"/>
    <w:link w:val="SubtitleChar"/>
    <w:qFormat/>
    <w:rsid w:val="00995FFF"/>
    <w:pPr>
      <w:numPr>
        <w:ilvl w:val="1"/>
      </w:numPr>
    </w:pPr>
    <w:rPr>
      <w:rFonts w:ascii="Cambria" w:eastAsia="Malgun Gothic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rsid w:val="00995FFF"/>
    <w:rPr>
      <w:rFonts w:ascii="Cambria" w:eastAsia="Malgun Gothic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qFormat/>
    <w:rsid w:val="00995FFF"/>
    <w:pPr>
      <w:ind w:left="720"/>
      <w:contextualSpacing/>
    </w:pPr>
    <w:rPr>
      <w:rFonts w:eastAsia="Times New Roman"/>
    </w:rPr>
  </w:style>
  <w:style w:type="character" w:styleId="SubtleEmphasis">
    <w:name w:val="Subtle Emphasis"/>
    <w:qFormat/>
    <w:rsid w:val="00995FFF"/>
    <w:rPr>
      <w:rFonts w:cs="Times New Roman"/>
      <w:i/>
      <w:iCs/>
      <w:color w:val="808080"/>
    </w:rPr>
  </w:style>
  <w:style w:type="character" w:styleId="SubtleReference">
    <w:name w:val="Subtle Reference"/>
    <w:qFormat/>
    <w:rsid w:val="00995FFF"/>
    <w:rPr>
      <w:rFonts w:cs="Times New Roman"/>
      <w:smallCaps/>
      <w:color w:val="C0504D"/>
      <w:u w:val="single"/>
    </w:rPr>
  </w:style>
  <w:style w:type="character" w:styleId="BookTitle">
    <w:name w:val="Book Title"/>
    <w:qFormat/>
    <w:rsid w:val="00995FFF"/>
    <w:rPr>
      <w:rFonts w:cs="Times New Roman"/>
      <w:b/>
      <w:bCs/>
      <w:smallCaps/>
      <w:spacing w:val="5"/>
    </w:rPr>
  </w:style>
  <w:style w:type="paragraph" w:styleId="TOCHeading">
    <w:name w:val="TOC Heading"/>
    <w:basedOn w:val="Heading1"/>
    <w:next w:val="Normal"/>
    <w:qFormat/>
    <w:rsid w:val="00995FFF"/>
    <w:pPr>
      <w:outlineLvl w:val="9"/>
    </w:pPr>
    <w:rPr>
      <w:rFonts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B80B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0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2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4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00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07010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43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889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811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7015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419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9322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6663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92676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si.b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NSI</Company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Antoniya Pacheva</dc:creator>
  <cp:lastModifiedBy>Antoniya Pacheva</cp:lastModifiedBy>
  <cp:revision>1</cp:revision>
  <dcterms:created xsi:type="dcterms:W3CDTF">2015-06-03T13:02:00Z</dcterms:created>
  <dcterms:modified xsi:type="dcterms:W3CDTF">2015-06-03T13:02:00Z</dcterms:modified>
</cp:coreProperties>
</file>